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6"/>
        <w:gridCol w:w="868"/>
        <w:gridCol w:w="868"/>
        <w:gridCol w:w="930"/>
        <w:gridCol w:w="868"/>
        <w:gridCol w:w="869"/>
        <w:gridCol w:w="899"/>
      </w:tblGrid>
      <w:tr w:rsidR="00EF6A25" w:rsidRPr="00EF6A25" w:rsidTr="00EF6A25">
        <w:trPr>
          <w:tblCellSpacing w:w="30" w:type="dxa"/>
        </w:trPr>
        <w:tc>
          <w:tcPr>
            <w:tcW w:w="0" w:type="auto"/>
            <w:vMerge w:val="restar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Cost Drivers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Ratings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Merge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Very Low</w:t>
            </w: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Low</w:t>
            </w: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Nominal</w:t>
            </w: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High</w:t>
            </w: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Very High</w:t>
            </w:r>
          </w:p>
        </w:tc>
        <w:tc>
          <w:tcPr>
            <w:tcW w:w="500" w:type="pct"/>
            <w:vAlign w:val="bottom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Extra High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Product attributes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Required software reliability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0.75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0.88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1.40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Size of application database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0.94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1.08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1.16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Complexity of the product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0.70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0.85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1.30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1.65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Hardware attributes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Run-time performance constraints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1.30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1.66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Memory constraints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1.06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1.56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  <w:t>Volatility of the virtual machine environment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0.87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1.30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Required turnabout time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0.87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Personnel attributes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Analyst capability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1.46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1.19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0.86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0.71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Applications experience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1.29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1.13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0.91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0.82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Software engineer capability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1.42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0.86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0.70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Virtual machine experience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0.90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Programming language experience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0.95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Project attributes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v-FI"/>
              </w:rPr>
            </w:pP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v-FI"/>
              </w:rPr>
              <w:t>Application of software engineering methods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0.91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0.82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Use of software tools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1.24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0.91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0.83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Required development schedule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1.23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1.08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sv-FI"/>
              </w:rPr>
              <w:t>1.04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 </w:t>
            </w:r>
          </w:p>
        </w:tc>
      </w:tr>
    </w:tbl>
    <w:p w:rsidR="00EF6A25" w:rsidRPr="00EF6A25" w:rsidRDefault="00EF6A25" w:rsidP="00EF6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</w:pP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The Intermediate </w:t>
      </w:r>
      <w:proofErr w:type="spellStart"/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>Cocomo</w:t>
      </w:r>
      <w:proofErr w:type="spellEnd"/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formula now takes the form:</w:t>
      </w:r>
    </w:p>
    <w:p w:rsidR="0003708F" w:rsidRDefault="0093643E">
      <w:pPr>
        <w:rPr>
          <w:lang w:val="en-US"/>
        </w:rPr>
      </w:pPr>
    </w:p>
    <w:p w:rsidR="00EF6A25" w:rsidRPr="00EF6A25" w:rsidRDefault="00EF6A25" w:rsidP="00EF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</w:pP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E=</w:t>
      </w:r>
      <w:r w:rsidRPr="00EF6A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sv-FI"/>
        </w:rPr>
        <w:t>a</w:t>
      </w:r>
      <w:r w:rsidRPr="00EF6A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sv-FI"/>
        </w:rPr>
        <w:t>i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(KLoC)</w:t>
      </w:r>
      <w:r w:rsidRPr="00EF6A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val="en-US" w:eastAsia="sv-FI"/>
        </w:rPr>
        <w:t>(b</w:t>
      </w:r>
      <w:r w:rsidRPr="00EF6A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sv-FI"/>
        </w:rPr>
        <w:t>i</w:t>
      </w:r>
      <w:r w:rsidRPr="00EF6A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val="en-US" w:eastAsia="sv-FI"/>
        </w:rPr>
        <w:t>)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.EAF</w:t>
      </w:r>
    </w:p>
    <w:p w:rsidR="00EF6A25" w:rsidRPr="00EF6A25" w:rsidRDefault="00EF6A25" w:rsidP="00EF6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</w:pP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where E is the effort applied in person-months,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KLoC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is the estimated number of thousands of delivered lines of code for the project, and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EAF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is the factor calculated above. The coefficient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a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val="en-US" w:eastAsia="sv-FI"/>
        </w:rPr>
        <w:t>i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and the exp</w:t>
      </w:r>
      <w:bookmarkStart w:id="0" w:name="_GoBack"/>
      <w:bookmarkEnd w:id="0"/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onent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b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val="en-US" w:eastAsia="sv-FI"/>
        </w:rPr>
        <w:t>i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are given in the next table.</w:t>
      </w:r>
    </w:p>
    <w:tbl>
      <w:tblPr>
        <w:tblW w:w="0" w:type="auto"/>
        <w:tblCellSpacing w:w="30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641"/>
        <w:gridCol w:w="671"/>
      </w:tblGrid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Software project</w:t>
            </w:r>
          </w:p>
        </w:tc>
        <w:tc>
          <w:tcPr>
            <w:tcW w:w="1000" w:type="pct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a</w:t>
            </w: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sv-FI"/>
              </w:rPr>
              <w:t>i</w:t>
            </w:r>
          </w:p>
        </w:tc>
        <w:tc>
          <w:tcPr>
            <w:tcW w:w="1000" w:type="pct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v-FI"/>
              </w:rPr>
              <w:t>b</w:t>
            </w:r>
            <w:r w:rsidRPr="00EF6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sv-FI"/>
              </w:rPr>
              <w:t>i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Organic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1.05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Semi-detached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1.12</w:t>
            </w:r>
          </w:p>
        </w:tc>
      </w:tr>
      <w:tr w:rsidR="00EF6A25" w:rsidRPr="00EF6A25" w:rsidTr="00EF6A25">
        <w:trPr>
          <w:tblCellSpacing w:w="30" w:type="dxa"/>
        </w:trPr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Embedded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EF6A25" w:rsidRPr="00EF6A25" w:rsidRDefault="00EF6A25" w:rsidP="00EF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</w:pPr>
            <w:r w:rsidRPr="00EF6A25">
              <w:rPr>
                <w:rFonts w:ascii="Times New Roman" w:eastAsia="Times New Roman" w:hAnsi="Times New Roman" w:cs="Times New Roman"/>
                <w:sz w:val="24"/>
                <w:szCs w:val="24"/>
                <w:lang w:eastAsia="sv-FI"/>
              </w:rPr>
              <w:t>1.20</w:t>
            </w:r>
          </w:p>
        </w:tc>
      </w:tr>
    </w:tbl>
    <w:p w:rsidR="00EF6A25" w:rsidRPr="00EF6A25" w:rsidRDefault="00EF6A25" w:rsidP="00EF6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</w:pP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The Development time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D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calculation uses </w:t>
      </w:r>
      <w:r w:rsidRPr="00EF6A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sv-FI"/>
        </w:rPr>
        <w:t>E</w:t>
      </w:r>
      <w:r w:rsidRPr="00EF6A25">
        <w:rPr>
          <w:rFonts w:ascii="Times New Roman" w:eastAsia="Times New Roman" w:hAnsi="Times New Roman" w:cs="Times New Roman"/>
          <w:sz w:val="24"/>
          <w:szCs w:val="24"/>
          <w:lang w:val="en-US" w:eastAsia="sv-FI"/>
        </w:rPr>
        <w:t xml:space="preserve"> in the same way as in the Basic COCOMO.</w:t>
      </w:r>
    </w:p>
    <w:p w:rsidR="00EF6A25" w:rsidRPr="00EF6A25" w:rsidRDefault="00EF6A25">
      <w:pPr>
        <w:rPr>
          <w:lang w:val="en-US"/>
        </w:rPr>
      </w:pPr>
    </w:p>
    <w:sectPr w:rsidR="00EF6A25" w:rsidRPr="00EF6A2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25"/>
    <w:rsid w:val="009030B8"/>
    <w:rsid w:val="0093643E"/>
    <w:rsid w:val="00D76601"/>
    <w:rsid w:val="00E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Matts</dc:creator>
  <cp:lastModifiedBy>Matts</cp:lastModifiedBy>
  <cp:revision>1</cp:revision>
  <dcterms:created xsi:type="dcterms:W3CDTF">2011-04-21T10:05:00Z</dcterms:created>
  <dcterms:modified xsi:type="dcterms:W3CDTF">2011-04-21T10:19:00Z</dcterms:modified>
</cp:coreProperties>
</file>